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[ORGANIZATION NAME] EMERGENCY SUCCESSION PLAN</w:t>
      </w:r>
    </w:p>
    <w:p>
      <w:r>
        <w:rPr>
          <w:i/>
          <w:color w:val="5C6775"/>
          <w:sz w:val="20"/>
        </w:rPr>
        <w:t>Adopted [DATE]. Reviewed annually and whenever a named person changes.</w:t>
      </w:r>
    </w:p>
    <w:p/>
    <w:p>
      <w:r>
        <w:rPr>
          <w:b/>
          <w:color w:val="9A5B18"/>
          <w:sz w:val="20"/>
        </w:rPr>
        <w:t>Before you use this</w:t>
      </w:r>
    </w:p>
    <w:p>
      <w:pPr>
        <w:pStyle w:val="ListBullet"/>
      </w:pPr>
      <w:r>
        <w:rPr>
          <w:color w:val="5C6775"/>
          <w:sz w:val="19"/>
        </w:rPr>
        <w:t>This covers an unplanned absence: illness, accident, or a resignation without notice. It is not the plan for a known departure, which is a separate and much longer piece of board work.</w:t>
      </w:r>
    </w:p>
    <w:p>
      <w:pPr>
        <w:pStyle w:val="ListBullet"/>
      </w:pPr>
      <w:r>
        <w:rPr>
          <w:color w:val="5C6775"/>
          <w:sz w:val="19"/>
        </w:rPr>
        <w:t>Fill it in one sitting and take it to the next board meeting as a single agenda item. Proposed as a project it goes to a committee and does not come back.</w:t>
      </w:r>
    </w:p>
    <w:p>
      <w:pPr>
        <w:pStyle w:val="ListBullet"/>
      </w:pPr>
      <w:r>
        <w:rPr>
          <w:color w:val="5C6775"/>
          <w:sz w:val="19"/>
        </w:rPr>
        <w:t>Name people, not only roles. A role that is itself vacant half the year is not a successor, and one named person may be on the same aeroplane as the person they are covering for.</w:t>
      </w:r>
    </w:p>
    <w:p>
      <w:pPr>
        <w:pStyle w:val="ListBullet"/>
      </w:pPr>
      <w:r>
        <w:rPr>
          <w:color w:val="5C6775"/>
          <w:sz w:val="19"/>
        </w:rPr>
        <w:t>Store a copy the board chair can reach without going through the chief executive. A plan available only on the chief executive's laptop is unavailable in exactly the situation it exists for.</w:t>
      </w:r>
    </w:p>
    <w:p>
      <w:pPr>
        <w:pStyle w:val="ListBullet"/>
      </w:pPr>
      <w:r>
        <w:rPr>
          <w:color w:val="5C6775"/>
          <w:sz w:val="19"/>
        </w:rPr>
        <w:t>An out of date plan is worse than none, because it will be followed. Rewrite it whenever a named person leaves.</w:t>
      </w:r>
    </w:p>
    <w:p>
      <w:r>
        <w:rPr>
          <w:b/>
          <w:color w:val="0F5B60"/>
          <w:sz w:val="22"/>
        </w:rPr>
        <w:t>1. WHO ACTS</w:t>
      </w:r>
    </w:p>
    <w:p>
      <w:r>
        <w:rPr>
          <w:i/>
          <w:color w:val="5C6775"/>
          <w:sz w:val="19"/>
        </w:rPr>
        <w:t>First and second successor, by name and role. The second exists because the first may be unreachable for the same reason the chief executive is.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20"/>
              </w:rPr>
            </w:r>
          </w:p>
        </w:tc>
        <w:tc>
          <w:tcPr>
            <w:tcW w:type="dxa" w:w="1728"/>
          </w:tcPr>
          <w:p>
            <w:r/>
            <w:r>
              <w:rPr>
                <w:b/>
                <w:sz w:val="20"/>
              </w:rPr>
              <w:t>Name</w:t>
            </w:r>
          </w:p>
        </w:tc>
        <w:tc>
          <w:tcPr>
            <w:tcW w:type="dxa" w:w="1728"/>
          </w:tcPr>
          <w:p>
            <w:r/>
            <w:r>
              <w:rPr>
                <w:b/>
                <w:sz w:val="20"/>
              </w:rPr>
              <w:t>Role</w:t>
            </w:r>
          </w:p>
        </w:tc>
        <w:tc>
          <w:tcPr>
            <w:tcW w:type="dxa" w:w="1728"/>
          </w:tcPr>
          <w:p>
            <w:r/>
            <w:r>
              <w:rPr>
                <w:b/>
                <w:sz w:val="20"/>
              </w:rPr>
              <w:t>Mobile</w:t>
            </w:r>
          </w:p>
        </w:tc>
        <w:tc>
          <w:tcPr>
            <w:tcW w:type="dxa" w:w="1728"/>
          </w:tcPr>
          <w:p>
            <w:r/>
            <w:r>
              <w:rPr>
                <w:b/>
                <w:sz w:val="20"/>
              </w:rPr>
              <w:t>Personal email</w:t>
            </w:r>
          </w:p>
        </w:tc>
      </w:tr>
      <w:tr>
        <w:tc>
          <w:tcPr>
            <w:tcW w:type="dxa" w:w="1728"/>
          </w:tcPr>
          <w:p>
            <w:r/>
            <w:r>
              <w:rPr>
                <w:sz w:val="20"/>
              </w:rPr>
              <w:t>First successor</w:t>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t>Second successor</w:t>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t>Board chair</w:t>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r>
        <w:tc>
          <w:tcPr>
            <w:tcW w:type="dxa" w:w="1728"/>
          </w:tcPr>
          <w:p>
            <w:r/>
            <w:r>
              <w:rPr>
                <w:sz w:val="20"/>
              </w:rPr>
              <w:t>Board vice chair</w:t>
            </w:r>
          </w:p>
        </w:tc>
        <w:tc>
          <w:tcPr>
            <w:tcW w:type="dxa" w:w="1728"/>
          </w:tcPr>
          <w:p>
            <w:r/>
            <w:r>
              <w:rPr>
                <w:sz w:val="20"/>
              </w:rPr>
            </w:r>
          </w:p>
        </w:tc>
        <w:tc>
          <w:tcPr>
            <w:tcW w:type="dxa" w:w="1728"/>
          </w:tcPr>
          <w:p>
            <w:r/>
            <w:r>
              <w:rPr>
                <w:sz w:val="20"/>
              </w:rPr>
            </w:r>
          </w:p>
        </w:tc>
        <w:tc>
          <w:tcPr>
            <w:tcW w:type="dxa" w:w="1728"/>
          </w:tcPr>
          <w:p>
            <w:r/>
            <w:r>
              <w:rPr>
                <w:sz w:val="20"/>
              </w:rPr>
            </w:r>
          </w:p>
        </w:tc>
        <w:tc>
          <w:tcPr>
            <w:tcW w:type="dxa" w:w="1728"/>
          </w:tcPr>
          <w:p>
            <w:r/>
            <w:r>
              <w:rPr>
                <w:sz w:val="20"/>
              </w:rPr>
            </w:r>
          </w:p>
        </w:tc>
      </w:tr>
    </w:tbl>
    <w:p/>
    <w:p>
      <w:r>
        <w:rPr>
          <w:i/>
          <w:color w:val="5C6775"/>
          <w:sz w:val="19"/>
        </w:rPr>
        <w:t xml:space="preserve">Who declares that this plan is in effect, and how: </w:t>
      </w:r>
    </w:p>
    <w:p>
      <w:r>
        <w:t>______________________________________________________________________________</w:t>
      </w:r>
    </w:p>
    <w:p>
      <w:r>
        <w:t>______________________________________________________________________________</w:t>
      </w:r>
    </w:p>
    <w:p>
      <w:r>
        <w:rPr>
          <w:b/>
          <w:color w:val="0F5B60"/>
          <w:sz w:val="22"/>
        </w:rPr>
        <w:t>2. WHAT THE INTERIM LEADER CAN DECIDE</w:t>
      </w:r>
    </w:p>
    <w:p>
      <w:r>
        <w:rPr>
          <w:i/>
          <w:color w:val="5C6775"/>
          <w:sz w:val="19"/>
        </w:rPr>
        <w:t>Use numbers, not phrases. Someone who does not know whether they can authorise a $9,000 repair will not authorise it.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Decision</w:t>
            </w:r>
          </w:p>
        </w:tc>
        <w:tc>
          <w:tcPr>
            <w:tcW w:type="dxa" w:w="2160"/>
          </w:tcPr>
          <w:p>
            <w:r/>
            <w:r>
              <w:rPr>
                <w:b/>
                <w:sz w:val="20"/>
              </w:rPr>
              <w:t>Interim leader may</w:t>
            </w:r>
          </w:p>
        </w:tc>
        <w:tc>
          <w:tcPr>
            <w:tcW w:type="dxa" w:w="2160"/>
          </w:tcPr>
          <w:p>
            <w:r/>
            <w:r>
              <w:rPr>
                <w:b/>
                <w:sz w:val="20"/>
              </w:rPr>
              <w:t>Requires board chair</w:t>
            </w:r>
          </w:p>
        </w:tc>
        <w:tc>
          <w:tcPr>
            <w:tcW w:type="dxa" w:w="2160"/>
          </w:tcPr>
          <w:p>
            <w:r/>
            <w:r>
              <w:rPr>
                <w:b/>
                <w:sz w:val="20"/>
              </w:rPr>
              <w:t>Requires full board</w:t>
            </w:r>
          </w:p>
        </w:tc>
      </w:tr>
      <w:tr>
        <w:tc>
          <w:tcPr>
            <w:tcW w:type="dxa" w:w="2160"/>
          </w:tcPr>
          <w:p>
            <w:r/>
            <w:r>
              <w:rPr>
                <w:sz w:val="20"/>
              </w:rPr>
              <w:t>Operating spend, single item up to $____</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Operating spend above $____</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Signing cheques or approving payments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Payroll authorisation</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Hiring, within approved budget</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Terminating an employee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Signing a contract or lease</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Public or press statements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Accepting a restricted gift</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Programme suspension or closure</w:t>
            </w:r>
          </w:p>
        </w:tc>
        <w:tc>
          <w:tcPr>
            <w:tcW w:type="dxa" w:w="2160"/>
          </w:tcPr>
          <w:p>
            <w:r/>
            <w:r>
              <w:rPr>
                <w:sz w:val="20"/>
              </w:rPr>
            </w:r>
          </w:p>
        </w:tc>
        <w:tc>
          <w:tcPr>
            <w:tcW w:type="dxa" w:w="2160"/>
          </w:tcPr>
          <w:p>
            <w:r/>
            <w:r>
              <w:rPr>
                <w:sz w:val="20"/>
              </w:rPr>
            </w:r>
          </w:p>
        </w:tc>
        <w:tc>
          <w:tcPr>
            <w:tcW w:type="dxa" w:w="2160"/>
          </w:tcPr>
          <w:p>
            <w:r/>
            <w:r>
              <w:rPr>
                <w:sz w:val="20"/>
              </w:rPr>
            </w:r>
          </w:p>
        </w:tc>
      </w:tr>
    </w:tbl>
    <w:p/>
    <w:p>
      <w:r>
        <w:rPr>
          <w:i/>
          <w:color w:val="5C6775"/>
          <w:sz w:val="19"/>
        </w:rPr>
        <w:t xml:space="preserve">Bank signatories currently on file, and who adds one: </w:t>
      </w:r>
    </w:p>
    <w:p>
      <w:r>
        <w:t>______________________________________________________________________________</w:t>
      </w:r>
    </w:p>
    <w:p>
      <w:r>
        <w:t>______________________________________________________________________________</w:t>
      </w:r>
    </w:p>
    <w:p>
      <w:r>
        <w:rPr>
          <w:b/>
          <w:color w:val="0F5B60"/>
          <w:sz w:val="22"/>
        </w:rPr>
        <w:t>3. WHO IS TOLD, AND IN WHAT ORDER</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Order</w:t>
            </w:r>
          </w:p>
        </w:tc>
        <w:tc>
          <w:tcPr>
            <w:tcW w:type="dxa" w:w="2160"/>
          </w:tcPr>
          <w:p>
            <w:r/>
            <w:r>
              <w:rPr>
                <w:b/>
                <w:sz w:val="20"/>
              </w:rPr>
              <w:t>Who</w:t>
            </w:r>
          </w:p>
        </w:tc>
        <w:tc>
          <w:tcPr>
            <w:tcW w:type="dxa" w:w="2160"/>
          </w:tcPr>
          <w:p>
            <w:r/>
            <w:r>
              <w:rPr>
                <w:b/>
                <w:sz w:val="20"/>
              </w:rPr>
              <w:t>Told by</w:t>
            </w:r>
          </w:p>
        </w:tc>
        <w:tc>
          <w:tcPr>
            <w:tcW w:type="dxa" w:w="2160"/>
          </w:tcPr>
          <w:p>
            <w:r/>
            <w:r>
              <w:rPr>
                <w:b/>
                <w:sz w:val="20"/>
              </w:rPr>
              <w:t>Within</w:t>
            </w:r>
          </w:p>
        </w:tc>
      </w:tr>
      <w:tr>
        <w:tc>
          <w:tcPr>
            <w:tcW w:type="dxa" w:w="2160"/>
          </w:tcPr>
          <w:p>
            <w:r/>
            <w:r>
              <w:rPr>
                <w:sz w:val="20"/>
              </w:rPr>
              <w:t>1</w:t>
            </w:r>
          </w:p>
        </w:tc>
        <w:tc>
          <w:tcPr>
            <w:tcW w:type="dxa" w:w="2160"/>
          </w:tcPr>
          <w:p>
            <w:r/>
            <w:r>
              <w:rPr>
                <w:sz w:val="20"/>
              </w:rPr>
              <w:t>Board chair</w:t>
            </w:r>
          </w:p>
        </w:tc>
        <w:tc>
          <w:tcPr>
            <w:tcW w:type="dxa" w:w="2160"/>
          </w:tcPr>
          <w:p>
            <w:r/>
            <w:r>
              <w:rPr>
                <w:sz w:val="20"/>
              </w:rPr>
            </w:r>
          </w:p>
        </w:tc>
        <w:tc>
          <w:tcPr>
            <w:tcW w:type="dxa" w:w="2160"/>
          </w:tcPr>
          <w:p>
            <w:r/>
            <w:r>
              <w:rPr>
                <w:sz w:val="20"/>
              </w:rPr>
            </w:r>
          </w:p>
        </w:tc>
      </w:tr>
      <w:tr>
        <w:tc>
          <w:tcPr>
            <w:tcW w:type="dxa" w:w="2160"/>
          </w:tcPr>
          <w:p>
            <w:r/>
            <w:r>
              <w:rPr>
                <w:sz w:val="20"/>
              </w:rPr>
              <w:t>2</w:t>
            </w:r>
          </w:p>
        </w:tc>
        <w:tc>
          <w:tcPr>
            <w:tcW w:type="dxa" w:w="2160"/>
          </w:tcPr>
          <w:p>
            <w:r/>
            <w:r>
              <w:rPr>
                <w:sz w:val="20"/>
              </w:rPr>
              <w:t>Rest of the board</w:t>
            </w:r>
          </w:p>
        </w:tc>
        <w:tc>
          <w:tcPr>
            <w:tcW w:type="dxa" w:w="2160"/>
          </w:tcPr>
          <w:p>
            <w:r/>
            <w:r>
              <w:rPr>
                <w:sz w:val="20"/>
              </w:rPr>
            </w:r>
          </w:p>
        </w:tc>
        <w:tc>
          <w:tcPr>
            <w:tcW w:type="dxa" w:w="2160"/>
          </w:tcPr>
          <w:p>
            <w:r/>
            <w:r>
              <w:rPr>
                <w:sz w:val="20"/>
              </w:rPr>
            </w:r>
          </w:p>
        </w:tc>
      </w:tr>
      <w:tr>
        <w:tc>
          <w:tcPr>
            <w:tcW w:type="dxa" w:w="2160"/>
          </w:tcPr>
          <w:p>
            <w:r/>
            <w:r>
              <w:rPr>
                <w:sz w:val="20"/>
              </w:rPr>
              <w:t>3</w:t>
            </w:r>
          </w:p>
        </w:tc>
        <w:tc>
          <w:tcPr>
            <w:tcW w:type="dxa" w:w="2160"/>
          </w:tcPr>
          <w:p>
            <w:r/>
            <w:r>
              <w:rPr>
                <w:sz w:val="20"/>
              </w:rPr>
              <w:t>Staff, in person or by call</w:t>
            </w:r>
          </w:p>
        </w:tc>
        <w:tc>
          <w:tcPr>
            <w:tcW w:type="dxa" w:w="2160"/>
          </w:tcPr>
          <w:p>
            <w:r/>
            <w:r>
              <w:rPr>
                <w:sz w:val="20"/>
              </w:rPr>
            </w:r>
          </w:p>
        </w:tc>
        <w:tc>
          <w:tcPr>
            <w:tcW w:type="dxa" w:w="2160"/>
          </w:tcPr>
          <w:p>
            <w:r/>
            <w:r>
              <w:rPr>
                <w:sz w:val="20"/>
              </w:rPr>
            </w:r>
          </w:p>
        </w:tc>
      </w:tr>
      <w:tr>
        <w:tc>
          <w:tcPr>
            <w:tcW w:type="dxa" w:w="2160"/>
          </w:tcPr>
          <w:p>
            <w:r/>
            <w:r>
              <w:rPr>
                <w:sz w:val="20"/>
              </w:rPr>
              <w:t>4</w:t>
            </w:r>
          </w:p>
        </w:tc>
        <w:tc>
          <w:tcPr>
            <w:tcW w:type="dxa" w:w="2160"/>
          </w:tcPr>
          <w:p>
            <w:r/>
            <w:r>
              <w:rPr>
                <w:sz w:val="20"/>
              </w:rPr>
              <w:t>Major funders and grant officers</w:t>
            </w:r>
          </w:p>
        </w:tc>
        <w:tc>
          <w:tcPr>
            <w:tcW w:type="dxa" w:w="2160"/>
          </w:tcPr>
          <w:p>
            <w:r/>
            <w:r>
              <w:rPr>
                <w:sz w:val="20"/>
              </w:rPr>
            </w:r>
          </w:p>
        </w:tc>
        <w:tc>
          <w:tcPr>
            <w:tcW w:type="dxa" w:w="2160"/>
          </w:tcPr>
          <w:p>
            <w:r/>
            <w:r>
              <w:rPr>
                <w:sz w:val="20"/>
              </w:rPr>
            </w:r>
          </w:p>
        </w:tc>
      </w:tr>
      <w:tr>
        <w:tc>
          <w:tcPr>
            <w:tcW w:type="dxa" w:w="2160"/>
          </w:tcPr>
          <w:p>
            <w:r/>
            <w:r>
              <w:rPr>
                <w:sz w:val="20"/>
              </w:rPr>
              <w:t>5</w:t>
            </w:r>
          </w:p>
        </w:tc>
        <w:tc>
          <w:tcPr>
            <w:tcW w:type="dxa" w:w="2160"/>
          </w:tcPr>
          <w:p>
            <w:r/>
            <w:r>
              <w:rPr>
                <w:sz w:val="20"/>
              </w:rPr>
              <w:t>Key partners and vendors</w:t>
            </w:r>
          </w:p>
        </w:tc>
        <w:tc>
          <w:tcPr>
            <w:tcW w:type="dxa" w:w="2160"/>
          </w:tcPr>
          <w:p>
            <w:r/>
            <w:r>
              <w:rPr>
                <w:sz w:val="20"/>
              </w:rPr>
            </w:r>
          </w:p>
        </w:tc>
        <w:tc>
          <w:tcPr>
            <w:tcW w:type="dxa" w:w="2160"/>
          </w:tcPr>
          <w:p>
            <w:r/>
            <w:r>
              <w:rPr>
                <w:sz w:val="20"/>
              </w:rPr>
            </w:r>
          </w:p>
        </w:tc>
      </w:tr>
      <w:tr>
        <w:tc>
          <w:tcPr>
            <w:tcW w:type="dxa" w:w="2160"/>
          </w:tcPr>
          <w:p>
            <w:r/>
            <w:r>
              <w:rPr>
                <w:sz w:val="20"/>
              </w:rPr>
              <w:t>6</w:t>
            </w:r>
          </w:p>
        </w:tc>
        <w:tc>
          <w:tcPr>
            <w:tcW w:type="dxa" w:w="2160"/>
          </w:tcPr>
          <w:p>
            <w:r/>
            <w:r>
              <w:rPr>
                <w:sz w:val="20"/>
              </w:rPr>
              <w:t>Wider supporter list, if at all</w:t>
            </w:r>
          </w:p>
        </w:tc>
        <w:tc>
          <w:tcPr>
            <w:tcW w:type="dxa" w:w="2160"/>
          </w:tcPr>
          <w:p>
            <w:r/>
            <w:r>
              <w:rPr>
                <w:sz w:val="20"/>
              </w:rPr>
            </w:r>
          </w:p>
        </w:tc>
        <w:tc>
          <w:tcPr>
            <w:tcW w:type="dxa" w:w="2160"/>
          </w:tcPr>
          <w:p>
            <w:r/>
            <w:r>
              <w:rPr>
                <w:sz w:val="20"/>
              </w:rPr>
            </w:r>
          </w:p>
        </w:tc>
      </w:tr>
    </w:tbl>
    <w:p/>
    <w:p>
      <w:r>
        <w:rPr>
          <w:i/>
          <w:color w:val="5C6775"/>
          <w:sz w:val="19"/>
        </w:rPr>
        <w:t>Holding statement, drafted now so nobody writes one under pressure. Name the interim leader, say the board is managing the transition, and say when the next update comes. Do not disclose health details.</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4. ACCESS TO SYSTEMS AND RECORDS</w:t>
      </w:r>
    </w:p>
    <w:p>
      <w:r>
        <w:rPr>
          <w:i/>
          <w:color w:val="5C6775"/>
          <w:sz w:val="19"/>
        </w:rPr>
        <w:t>The section that fails most often. For each row, name someone other than the chief executive who can get in, and record the last date they actually signed in. A claim that access exists is not the same as access.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System</w:t>
            </w:r>
          </w:p>
        </w:tc>
        <w:tc>
          <w:tcPr>
            <w:tcW w:type="dxa" w:w="2160"/>
          </w:tcPr>
          <w:p>
            <w:r/>
            <w:r>
              <w:rPr>
                <w:b/>
                <w:sz w:val="20"/>
              </w:rPr>
              <w:t>Who else has access</w:t>
            </w:r>
          </w:p>
        </w:tc>
        <w:tc>
          <w:tcPr>
            <w:tcW w:type="dxa" w:w="2160"/>
          </w:tcPr>
          <w:p>
            <w:r/>
            <w:r>
              <w:rPr>
                <w:b/>
                <w:sz w:val="20"/>
              </w:rPr>
              <w:t>How access is granted</w:t>
            </w:r>
          </w:p>
        </w:tc>
        <w:tc>
          <w:tcPr>
            <w:tcW w:type="dxa" w:w="2160"/>
          </w:tcPr>
          <w:p>
            <w:r/>
            <w:r>
              <w:rPr>
                <w:b/>
                <w:sz w:val="20"/>
              </w:rPr>
              <w:t>Last verified</w:t>
            </w:r>
          </w:p>
        </w:tc>
      </w:tr>
      <w:tr>
        <w:tc>
          <w:tcPr>
            <w:tcW w:type="dxa" w:w="2160"/>
          </w:tcPr>
          <w:p>
            <w:r/>
            <w:r>
              <w:rPr>
                <w:sz w:val="20"/>
              </w:rPr>
              <w:t>Bank and payment accounts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Payroll system</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Accounting system</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Donor database or CRM</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Email administration</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Website and hosting</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Domain registrar</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Password manager</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Insurance policies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Legal and governing documents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Grant agreements and reporting portals</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Building keys and alarm codes</w:t>
            </w:r>
          </w:p>
        </w:tc>
        <w:tc>
          <w:tcPr>
            <w:tcW w:type="dxa" w:w="2160"/>
          </w:tcPr>
          <w:p>
            <w:r/>
            <w:r>
              <w:rPr>
                <w:sz w:val="20"/>
              </w:rPr>
            </w:r>
          </w:p>
        </w:tc>
        <w:tc>
          <w:tcPr>
            <w:tcW w:type="dxa" w:w="2160"/>
          </w:tcPr>
          <w:p>
            <w:r/>
            <w:r>
              <w:rPr>
                <w:sz w:val="20"/>
              </w:rPr>
            </w:r>
          </w:p>
        </w:tc>
        <w:tc>
          <w:tcPr>
            <w:tcW w:type="dxa" w:w="2160"/>
          </w:tcPr>
          <w:p>
            <w:r/>
            <w:r>
              <w:rPr>
                <w:sz w:val="20"/>
              </w:rPr>
            </w:r>
          </w:p>
        </w:tc>
      </w:tr>
    </w:tbl>
    <w:p/>
    <w:p>
      <w:r>
        <w:rPr>
          <w:b/>
          <w:color w:val="0F5B60"/>
          <w:sz w:val="22"/>
        </w:rPr>
        <w:t>5. COMMITMENTS IN THE NEXT 90 DAYS</w:t>
      </w:r>
    </w:p>
    <w:p>
      <w:r>
        <w:rPr>
          <w:i/>
          <w:color w:val="5C6775"/>
          <w:sz w:val="19"/>
        </w:rPr>
        <w:t>What is already promised and would quietly fail. Grant reports, payroll dates, board meetings, events, filing deadlines, renewals.</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sz w:val="20"/>
              </w:rPr>
              <w:t>Commitment</w:t>
            </w:r>
          </w:p>
        </w:tc>
        <w:tc>
          <w:tcPr>
            <w:tcW w:type="dxa" w:w="2880"/>
          </w:tcPr>
          <w:p>
            <w:r/>
            <w:r>
              <w:rPr>
                <w:b/>
                <w:sz w:val="20"/>
              </w:rPr>
              <w:t>Due</w:t>
            </w:r>
          </w:p>
        </w:tc>
        <w:tc>
          <w:tcPr>
            <w:tcW w:type="dxa" w:w="2880"/>
          </w:tcPr>
          <w:p>
            <w:r/>
            <w:r>
              <w:rPr>
                <w:b/>
                <w:sz w:val="20"/>
              </w:rPr>
              <w:t>Who picks it up</w:t>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r>
        <w:tc>
          <w:tcPr>
            <w:tcW w:type="dxa" w:w="2880"/>
          </w:tcPr>
          <w:p>
            <w:r/>
            <w:r>
              <w:rPr>
                <w:sz w:val="20"/>
              </w:rPr>
            </w:r>
          </w:p>
        </w:tc>
        <w:tc>
          <w:tcPr>
            <w:tcW w:type="dxa" w:w="2880"/>
          </w:tcPr>
          <w:p>
            <w:r/>
            <w:r>
              <w:rPr>
                <w:sz w:val="20"/>
              </w:rPr>
            </w:r>
          </w:p>
        </w:tc>
        <w:tc>
          <w:tcPr>
            <w:tcW w:type="dxa" w:w="2880"/>
          </w:tcPr>
          <w:p>
            <w:r/>
            <w:r>
              <w:rPr>
                <w:sz w:val="20"/>
              </w:rPr>
            </w:r>
          </w:p>
        </w:tc>
      </w:tr>
    </w:tbl>
    <w:p/>
    <w:p>
      <w:r>
        <w:rPr>
          <w:i/>
          <w:color w:val="5C6775"/>
          <w:sz w:val="19"/>
        </w:rPr>
        <w:t xml:space="preserve">Relationships held by the chief executive alone, and who takes each one: </w:t>
      </w:r>
    </w:p>
    <w:p>
      <w:r>
        <w:t>______________________________________________________________________________</w:t>
      </w:r>
    </w:p>
    <w:p>
      <w:r>
        <w:t>______________________________________________________________________________</w:t>
      </w:r>
    </w:p>
    <w:p>
      <w:r>
        <w:t>______________________________________________________________________________</w:t>
      </w:r>
    </w:p>
    <w:p>
      <w:r>
        <w:rPr>
          <w:b/>
          <w:color w:val="0F5B60"/>
          <w:sz w:val="22"/>
        </w:rPr>
        <w:t>6. WHEN THIS ARRANGEMENT ENDS</w:t>
      </w:r>
    </w:p>
    <w:p>
      <w:r>
        <w:rPr>
          <w:i/>
          <w:color w:val="5C6775"/>
          <w:sz w:val="19"/>
        </w:rPr>
        <w:t>A date or a trigger at which the board reviews, so an interim arrangement does not become permanent without anyone deciding that it should.</w:t>
      </w:r>
    </w:p>
    <w:tbl>
      <w:tblPr>
        <w:tblStyle w:val="TableGrid"/>
        <w:tblW w:type="auto" w:w="0"/>
        <w:tblLook w:firstColumn="1" w:firstRow="1" w:lastColumn="0" w:lastRow="0" w:noHBand="0" w:noVBand="1" w:val="04A0"/>
      </w:tblPr>
      <w:tblGrid>
        <w:gridCol w:w="4320"/>
        <w:gridCol w:w="4320"/>
      </w:tblGrid>
      <w:tr>
        <w:tc>
          <w:tcPr>
            <w:tcW w:type="dxa" w:w="4320"/>
          </w:tcPr>
          <w:p>
            <w:r/>
            <w:r>
              <w:rPr>
                <w:b/>
                <w:sz w:val="20"/>
              </w:rPr>
            </w:r>
          </w:p>
        </w:tc>
        <w:tc>
          <w:tcPr>
            <w:tcW w:type="dxa" w:w="4320"/>
          </w:tcPr>
          <w:p>
            <w:r/>
            <w:r>
              <w:rPr>
                <w:b/>
                <w:sz w:val="20"/>
              </w:rPr>
              <w:t>Answer</w:t>
            </w:r>
          </w:p>
        </w:tc>
      </w:tr>
      <w:tr>
        <w:tc>
          <w:tcPr>
            <w:tcW w:type="dxa" w:w="4320"/>
          </w:tcPr>
          <w:p>
            <w:r/>
            <w:r>
              <w:rPr>
                <w:sz w:val="20"/>
              </w:rPr>
              <w:t>Board reviews this arrangement by</w:t>
            </w:r>
          </w:p>
        </w:tc>
        <w:tc>
          <w:tcPr>
            <w:tcW w:type="dxa" w:w="4320"/>
          </w:tcPr>
          <w:p>
            <w:r/>
            <w:r>
              <w:rPr>
                <w:sz w:val="20"/>
              </w:rPr>
            </w:r>
          </w:p>
        </w:tc>
      </w:tr>
      <w:tr>
        <w:tc>
          <w:tcPr>
            <w:tcW w:type="dxa" w:w="4320"/>
          </w:tcPr>
          <w:p>
            <w:r/>
            <w:r>
              <w:rPr>
                <w:sz w:val="20"/>
              </w:rPr>
              <w:t>Interim appointment reviewed every</w:t>
            </w:r>
          </w:p>
        </w:tc>
        <w:tc>
          <w:tcPr>
            <w:tcW w:type="dxa" w:w="4320"/>
          </w:tcPr>
          <w:p>
            <w:r/>
            <w:r>
              <w:rPr>
                <w:sz w:val="20"/>
              </w:rPr>
            </w:r>
          </w:p>
        </w:tc>
      </w:tr>
      <w:tr>
        <w:tc>
          <w:tcPr>
            <w:tcW w:type="dxa" w:w="4320"/>
          </w:tcPr>
          <w:p>
            <w:r/>
            <w:r>
              <w:rPr>
                <w:sz w:val="20"/>
              </w:rPr>
              <w:t>Decision on a permanent search taken by</w:t>
            </w:r>
          </w:p>
        </w:tc>
        <w:tc>
          <w:tcPr>
            <w:tcW w:type="dxa" w:w="4320"/>
          </w:tcPr>
          <w:p>
            <w:r/>
            <w:r>
              <w:rPr>
                <w:sz w:val="20"/>
              </w:rPr>
            </w:r>
          </w:p>
        </w:tc>
      </w:tr>
      <w:tr>
        <w:tc>
          <w:tcPr>
            <w:tcW w:type="dxa" w:w="4320"/>
          </w:tcPr>
          <w:p>
            <w:r/>
            <w:r>
              <w:rPr>
                <w:sz w:val="20"/>
              </w:rPr>
              <w:t>Is the interim leader eligible to apply</w:t>
            </w:r>
          </w:p>
        </w:tc>
        <w:tc>
          <w:tcPr>
            <w:tcW w:type="dxa" w:w="4320"/>
          </w:tcPr>
          <w:p>
            <w:r/>
            <w:r>
              <w:rPr>
                <w:sz w:val="20"/>
              </w:rPr>
            </w:r>
          </w:p>
        </w:tc>
      </w:tr>
    </w:tbl>
    <w:p/>
    <w:p>
      <w:r>
        <w:rPr>
          <w:i/>
          <w:color w:val="5C6775"/>
          <w:sz w:val="19"/>
        </w:rPr>
        <w:t>State the last row now, in writing. An internal candidate who assumes they will be appointed and then is not usually leaves, so the organization loses two people instead of one.</w:t>
      </w:r>
    </w:p>
    <w:p>
      <w:r>
        <w:rPr>
          <w:b/>
          <w:color w:val="0F5B60"/>
          <w:sz w:val="22"/>
        </w:rPr>
        <w:t>7. ADOPTION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20"/>
              </w:rPr>
              <w:t>Role</w:t>
            </w:r>
          </w:p>
        </w:tc>
        <w:tc>
          <w:tcPr>
            <w:tcW w:type="dxa" w:w="2160"/>
          </w:tcPr>
          <w:p>
            <w:r/>
            <w:r>
              <w:rPr>
                <w:b/>
                <w:sz w:val="20"/>
              </w:rPr>
              <w:t>Name</w:t>
            </w:r>
          </w:p>
        </w:tc>
        <w:tc>
          <w:tcPr>
            <w:tcW w:type="dxa" w:w="2160"/>
          </w:tcPr>
          <w:p>
            <w:r/>
            <w:r>
              <w:rPr>
                <w:b/>
                <w:sz w:val="20"/>
              </w:rPr>
              <w:t>Signature</w:t>
            </w:r>
          </w:p>
        </w:tc>
        <w:tc>
          <w:tcPr>
            <w:tcW w:type="dxa" w:w="2160"/>
          </w:tcPr>
          <w:p>
            <w:r/>
            <w:r>
              <w:rPr>
                <w:b/>
                <w:sz w:val="20"/>
              </w:rPr>
              <w:t>Date</w:t>
            </w:r>
          </w:p>
        </w:tc>
      </w:tr>
      <w:tr>
        <w:tc>
          <w:tcPr>
            <w:tcW w:type="dxa" w:w="2160"/>
          </w:tcPr>
          <w:p>
            <w:r/>
            <w:r>
              <w:rPr>
                <w:sz w:val="20"/>
              </w:rPr>
              <w:t>Approved by board resolution on</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Recorded in minutes by</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Copy held by</w:t>
            </w:r>
          </w:p>
        </w:tc>
        <w:tc>
          <w:tcPr>
            <w:tcW w:type="dxa" w:w="2160"/>
          </w:tcPr>
          <w:p>
            <w:r/>
            <w:r>
              <w:rPr>
                <w:sz w:val="20"/>
              </w:rPr>
            </w:r>
          </w:p>
        </w:tc>
        <w:tc>
          <w:tcPr>
            <w:tcW w:type="dxa" w:w="2160"/>
          </w:tcPr>
          <w:p>
            <w:r/>
            <w:r>
              <w:rPr>
                <w:sz w:val="20"/>
              </w:rPr>
            </w:r>
          </w:p>
        </w:tc>
        <w:tc>
          <w:tcPr>
            <w:tcW w:type="dxa" w:w="2160"/>
          </w:tcPr>
          <w:p>
            <w:r/>
            <w:r>
              <w:rPr>
                <w:sz w:val="20"/>
              </w:rPr>
            </w:r>
          </w:p>
        </w:tc>
      </w:tr>
      <w:tr>
        <w:tc>
          <w:tcPr>
            <w:tcW w:type="dxa" w:w="2160"/>
          </w:tcPr>
          <w:p>
            <w:r/>
            <w:r>
              <w:rPr>
                <w:sz w:val="20"/>
              </w:rPr>
              <w:t>Next annual review due</w:t>
            </w:r>
          </w:p>
        </w:tc>
        <w:tc>
          <w:tcPr>
            <w:tcW w:type="dxa" w:w="2160"/>
          </w:tcPr>
          <w:p>
            <w:r/>
            <w:r>
              <w:rPr>
                <w:sz w:val="20"/>
              </w:rPr>
            </w:r>
          </w:p>
        </w:tc>
        <w:tc>
          <w:tcPr>
            <w:tcW w:type="dxa" w:w="2160"/>
          </w:tcPr>
          <w:p>
            <w:r/>
            <w:r>
              <w:rPr>
                <w:sz w:val="20"/>
              </w:rPr>
            </w:r>
          </w:p>
        </w:tc>
        <w:tc>
          <w:tcPr>
            <w:tcW w:type="dxa" w:w="2160"/>
          </w:tcPr>
          <w:p>
            <w:r/>
            <w:r>
              <w:rPr>
                <w:sz w:val="20"/>
              </w:rPr>
            </w:r>
          </w:p>
        </w:tc>
      </w:tr>
    </w:tbl>
    <w:p/>
    <w:p>
      <w:r>
        <w:rPr>
          <w:i/>
          <w:color w:val="5C6775"/>
          <w:sz w:val="19"/>
        </w:rPr>
        <w:t>Test it once a year: ask the board chair to produce this document without contacting the chief executive. If that takes more than a few minutes, the document exists but the plan does not.</w:t>
      </w:r>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